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EB" w:rsidRPr="001A0045" w:rsidRDefault="005A35EB" w:rsidP="005A35EB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 xml:space="preserve">                    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 Dobre Miasto, 2</w:t>
      </w:r>
      <w:r w:rsidR="008458B2">
        <w:rPr>
          <w:rFonts w:eastAsia="Times New Roman" w:cs="Times New Roman"/>
          <w:sz w:val="20"/>
          <w:szCs w:val="20"/>
          <w:lang w:eastAsia="pl-PL"/>
        </w:rPr>
        <w:t>7</w:t>
      </w:r>
      <w:r w:rsidR="00F76EBD">
        <w:rPr>
          <w:rFonts w:eastAsia="Times New Roman" w:cs="Times New Roman"/>
          <w:sz w:val="20"/>
          <w:szCs w:val="20"/>
          <w:lang w:eastAsia="pl-PL"/>
        </w:rPr>
        <w:t>.11</w:t>
      </w:r>
      <w:r w:rsidRPr="001A0045">
        <w:rPr>
          <w:rFonts w:eastAsia="Times New Roman" w:cs="Times New Roman"/>
          <w:sz w:val="20"/>
          <w:szCs w:val="20"/>
          <w:lang w:eastAsia="pl-PL"/>
        </w:rPr>
        <w:t>.2020r.</w:t>
      </w:r>
    </w:p>
    <w:p w:rsidR="005A35EB" w:rsidRPr="001A0045" w:rsidRDefault="005A35EB" w:rsidP="005A35EB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35EB" w:rsidRPr="001A0045" w:rsidRDefault="00F76EBD" w:rsidP="005A35EB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IN.6810.2.</w:t>
      </w:r>
      <w:r w:rsidR="008458B2">
        <w:rPr>
          <w:rFonts w:eastAsia="Times New Roman" w:cs="Times New Roman"/>
          <w:sz w:val="20"/>
          <w:szCs w:val="20"/>
          <w:lang w:eastAsia="pl-PL"/>
        </w:rPr>
        <w:t>56</w:t>
      </w:r>
      <w:r>
        <w:rPr>
          <w:rFonts w:eastAsia="Times New Roman" w:cs="Times New Roman"/>
          <w:sz w:val="20"/>
          <w:szCs w:val="20"/>
          <w:lang w:eastAsia="pl-PL"/>
        </w:rPr>
        <w:t>.2020.CR</w:t>
      </w:r>
    </w:p>
    <w:p w:rsidR="005A35EB" w:rsidRPr="001A0045" w:rsidRDefault="005A35EB" w:rsidP="005A35EB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A35EB" w:rsidRPr="001A0045" w:rsidRDefault="005A35EB" w:rsidP="005A35EB">
      <w:pPr>
        <w:keepNext/>
        <w:spacing w:line="240" w:lineRule="auto"/>
        <w:jc w:val="center"/>
        <w:outlineLvl w:val="0"/>
        <w:rPr>
          <w:rFonts w:eastAsia="Times New Roman" w:cs="Times New Roman"/>
          <w:bCs/>
          <w:sz w:val="20"/>
          <w:szCs w:val="20"/>
          <w:lang w:eastAsia="pl-PL"/>
        </w:rPr>
      </w:pPr>
      <w:r w:rsidRPr="001A0045">
        <w:rPr>
          <w:rFonts w:eastAsia="Times New Roman" w:cs="Times New Roman"/>
          <w:bCs/>
          <w:sz w:val="20"/>
          <w:szCs w:val="20"/>
          <w:lang w:eastAsia="pl-PL"/>
        </w:rPr>
        <w:t>W Y K A Z</w:t>
      </w:r>
    </w:p>
    <w:p w:rsidR="005A35EB" w:rsidRPr="001A0045" w:rsidRDefault="005A35EB" w:rsidP="005A35EB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5A35EB" w:rsidRDefault="005A35EB" w:rsidP="005A35EB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 xml:space="preserve">nieruchomości z zasobu nieruchomości stanowiących własność Gminy Dobre Miasto, przeznaczonej do sprzedaży, sporządzony zgodnie z art.35 art. 37 ust. 2 pkt 6 ustawy z dnia 21 sierpnia 1997r. o gospodarce nieruchomościami (tekst jednolity Dz. U. z 2020 r., poz. </w:t>
      </w:r>
      <w:r>
        <w:rPr>
          <w:rFonts w:eastAsia="Times New Roman" w:cs="Times New Roman"/>
          <w:sz w:val="20"/>
          <w:szCs w:val="20"/>
          <w:lang w:eastAsia="pl-PL"/>
        </w:rPr>
        <w:t>1990</w:t>
      </w:r>
      <w:r w:rsidRPr="001A0045">
        <w:rPr>
          <w:rFonts w:eastAsia="Times New Roman" w:cs="Times New Roman"/>
          <w:sz w:val="20"/>
          <w:szCs w:val="20"/>
          <w:lang w:eastAsia="pl-PL"/>
        </w:rPr>
        <w:t>) oraz uchwały Rady Miejskiej w Dobrym Mieście nr XVIII/93/2019 z dnia 03 października 2019r. w sprawie określenia zasad gospodarowania zasobem nieruchomości stanowiących własność Gminy Dobre Miasto (Dz. Urz. Woj. Warmińsko-Mazurskiego z 2019r. poz. 5534</w:t>
      </w:r>
      <w:r w:rsidR="00D34A38">
        <w:rPr>
          <w:rFonts w:eastAsia="Times New Roman" w:cs="Times New Roman"/>
          <w:sz w:val="20"/>
          <w:szCs w:val="20"/>
          <w:lang w:eastAsia="pl-PL"/>
        </w:rPr>
        <w:t xml:space="preserve"> z </w:t>
      </w:r>
      <w:proofErr w:type="spellStart"/>
      <w:r w:rsidR="00D34A38"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 w:rsidR="00D34A38">
        <w:rPr>
          <w:rFonts w:eastAsia="Times New Roman" w:cs="Times New Roman"/>
          <w:sz w:val="20"/>
          <w:szCs w:val="20"/>
          <w:lang w:eastAsia="pl-PL"/>
        </w:rPr>
        <w:t>. zm.</w:t>
      </w:r>
      <w:r w:rsidRPr="001A0045">
        <w:rPr>
          <w:rFonts w:eastAsia="Times New Roman" w:cs="Times New Roman"/>
          <w:sz w:val="20"/>
          <w:szCs w:val="20"/>
          <w:lang w:eastAsia="pl-PL"/>
        </w:rPr>
        <w:t>)</w:t>
      </w:r>
    </w:p>
    <w:p w:rsidR="00CA1EEA" w:rsidRDefault="00CA1EEA" w:rsidP="005A35EB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0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5699"/>
        <w:gridCol w:w="1508"/>
      </w:tblGrid>
      <w:tr w:rsidR="005A35EB" w:rsidRPr="001A0045" w:rsidTr="00D34A38">
        <w:trPr>
          <w:trHeight w:val="1039"/>
        </w:trPr>
        <w:tc>
          <w:tcPr>
            <w:tcW w:w="1843" w:type="dxa"/>
            <w:vAlign w:val="center"/>
          </w:tcPr>
          <w:p w:rsidR="005A35EB" w:rsidRPr="001A0045" w:rsidRDefault="005A35EB" w:rsidP="00B95E01">
            <w:pPr>
              <w:keepNext/>
              <w:spacing w:line="24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Położenie</w:t>
            </w:r>
          </w:p>
          <w:p w:rsidR="005A35EB" w:rsidRPr="001A0045" w:rsidRDefault="005A35EB" w:rsidP="00B95E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5A35EB" w:rsidRPr="001A0045" w:rsidRDefault="005A35EB" w:rsidP="00B95E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Pow. działki</w:t>
            </w:r>
          </w:p>
          <w:p w:rsidR="005A35EB" w:rsidRPr="001A0045" w:rsidRDefault="005A35EB" w:rsidP="00B95E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 nr   Oznaczenie KW</w:t>
            </w:r>
          </w:p>
        </w:tc>
        <w:tc>
          <w:tcPr>
            <w:tcW w:w="5784" w:type="dxa"/>
            <w:vAlign w:val="center"/>
          </w:tcPr>
          <w:p w:rsidR="005A35EB" w:rsidRPr="001A0045" w:rsidRDefault="005A35EB" w:rsidP="00B95E01">
            <w:pPr>
              <w:spacing w:line="240" w:lineRule="auto"/>
              <w:ind w:left="29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Przeznaczenie w planie</w:t>
            </w:r>
          </w:p>
          <w:p w:rsidR="005A35EB" w:rsidRPr="001A0045" w:rsidRDefault="005A35EB" w:rsidP="00B95E01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Zagospodarowania</w:t>
            </w:r>
          </w:p>
          <w:p w:rsidR="005A35EB" w:rsidRPr="001A0045" w:rsidRDefault="005A35EB" w:rsidP="00B95E01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Przestrzennego</w:t>
            </w:r>
          </w:p>
          <w:p w:rsidR="005A35EB" w:rsidRPr="001A0045" w:rsidRDefault="005A35EB" w:rsidP="00B95E01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1419" w:type="dxa"/>
            <w:vAlign w:val="center"/>
          </w:tcPr>
          <w:p w:rsidR="005A35EB" w:rsidRPr="001A0045" w:rsidRDefault="005A35EB" w:rsidP="00B95E01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netto sprzedaży   nieruchomości </w:t>
            </w:r>
          </w:p>
          <w:p w:rsidR="005A35EB" w:rsidRPr="001A0045" w:rsidRDefault="00BD049B" w:rsidP="00B95E01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w zł</w:t>
            </w:r>
          </w:p>
        </w:tc>
      </w:tr>
      <w:tr w:rsidR="005A35EB" w:rsidRPr="001A0045" w:rsidTr="00D34A38">
        <w:trPr>
          <w:cantSplit/>
          <w:trHeight w:val="3884"/>
        </w:trPr>
        <w:tc>
          <w:tcPr>
            <w:tcW w:w="1843" w:type="dxa"/>
          </w:tcPr>
          <w:p w:rsidR="005A35EB" w:rsidRPr="00D34A38" w:rsidRDefault="005A35EB" w:rsidP="00D34A38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Dobre Miasto</w:t>
            </w:r>
          </w:p>
          <w:p w:rsidR="005A35EB" w:rsidRDefault="005A35EB" w:rsidP="00B95E01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Obręb nr 0004</w:t>
            </w:r>
          </w:p>
          <w:p w:rsidR="005A35EB" w:rsidRPr="001A0045" w:rsidRDefault="005A35EB" w:rsidP="00B95E01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ul. Górna</w:t>
            </w:r>
          </w:p>
          <w:p w:rsidR="005A35EB" w:rsidRPr="001A0045" w:rsidRDefault="005A35EB" w:rsidP="00B95E01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5A35EB" w:rsidRPr="005A35EB" w:rsidRDefault="005A35EB" w:rsidP="005A35EB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Działka nr </w:t>
            </w:r>
            <w:r w:rsidRPr="005A35EB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 xml:space="preserve"> 94/7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o pow.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0,0057 ha</w:t>
            </w:r>
            <w:r w:rsidRPr="001A0045">
              <w:rPr>
                <w:rFonts w:eastAsia="Times New Roman" w:cs="Times New Roman"/>
                <w:bCs/>
                <w:sz w:val="20"/>
                <w:szCs w:val="20"/>
                <w:vertAlign w:val="superscript"/>
                <w:lang w:eastAsia="pl-PL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(użytek i klasa – dr-57m</w:t>
            </w:r>
            <w:r w:rsidRPr="005A35EB">
              <w:rPr>
                <w:rFonts w:eastAsia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1A0045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)</w:t>
            </w:r>
          </w:p>
          <w:p w:rsidR="005A35EB" w:rsidRDefault="005A35EB" w:rsidP="005A35E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00039124/0</w:t>
            </w:r>
          </w:p>
          <w:p w:rsidR="005A35EB" w:rsidRDefault="005A35EB" w:rsidP="005A35E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5A35EB" w:rsidRPr="005A35EB" w:rsidRDefault="005A35EB" w:rsidP="005A35E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5A35EB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Działka nr 96/5</w:t>
            </w:r>
          </w:p>
          <w:p w:rsidR="005A35EB" w:rsidRDefault="005A35EB" w:rsidP="005A35E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 pow. 0,0032 ha</w:t>
            </w:r>
          </w:p>
          <w:p w:rsidR="005A35EB" w:rsidRPr="00D34A38" w:rsidRDefault="005A35EB" w:rsidP="005A35EB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D34A38">
              <w:rPr>
                <w:rFonts w:eastAsia="Times New Roman" w:cs="Times New Roman"/>
                <w:sz w:val="18"/>
                <w:szCs w:val="18"/>
                <w:lang w:eastAsia="pl-PL"/>
              </w:rPr>
              <w:t>(użytek i klasa – dr – 32 m</w:t>
            </w:r>
            <w:r w:rsidRPr="00D34A38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D34A38">
              <w:rPr>
                <w:rFonts w:eastAsia="Times New Roman" w:cs="Times New Roman"/>
                <w:sz w:val="18"/>
                <w:szCs w:val="18"/>
                <w:lang w:eastAsia="pl-PL"/>
              </w:rPr>
              <w:t>)</w:t>
            </w:r>
          </w:p>
          <w:p w:rsidR="005A35EB" w:rsidRPr="001A0045" w:rsidRDefault="005A35EB" w:rsidP="005A35EB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KW OL1O/00039128/8</w:t>
            </w:r>
          </w:p>
        </w:tc>
        <w:tc>
          <w:tcPr>
            <w:tcW w:w="5784" w:type="dxa"/>
          </w:tcPr>
          <w:p w:rsidR="00D34A38" w:rsidRDefault="00D34A38" w:rsidP="00B56820">
            <w:pPr>
              <w:ind w:right="-468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5A35EB" w:rsidRPr="001A0045" w:rsidRDefault="005A35EB" w:rsidP="00B56820">
            <w:pPr>
              <w:ind w:right="44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Teren, na którym znajduje się przedmiotowa nieruchomość objęty jest miejscowym planem zagospodarowania przestrzennego </w:t>
            </w:r>
            <w:r w:rsidR="00D34A3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zatwierdzonym uchwalą nr XXXIII/25</w:t>
            </w:r>
            <w:r w:rsidR="00D34A3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7/2017 Rady Miejskiej w </w:t>
            </w:r>
            <w:r w:rsidR="00D34A3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Dobrym 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ieście</w:t>
            </w:r>
            <w:r w:rsidR="00D34A3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z dnia 30 marca 2017r. w sprawie uchwalenia miejscowego planu zagospodarowania przestrzennego w rejonie ulic; Łużyckiej, Olsztyńskiej, Górnej,  Orła Białego i rzeki Łyny w </w:t>
            </w:r>
            <w:r w:rsidR="00D34A3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granicach administracyjnych miasta Dobre Miasto. W wyżej wymienionym planie przedmiotowa nieruchomość oznaczona jest symbolem U.05 – teren zabudowy usługowej.</w:t>
            </w:r>
          </w:p>
          <w:p w:rsidR="005A35EB" w:rsidRPr="001A0045" w:rsidRDefault="005A35EB" w:rsidP="00B56820">
            <w:pPr>
              <w:ind w:right="-468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vAlign w:val="center"/>
          </w:tcPr>
          <w:p w:rsidR="005A35EB" w:rsidRPr="009E3781" w:rsidRDefault="009E3781" w:rsidP="00B95E01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3781">
              <w:rPr>
                <w:rFonts w:eastAsia="Times New Roman" w:cs="Times New Roman"/>
                <w:sz w:val="20"/>
                <w:szCs w:val="20"/>
                <w:lang w:eastAsia="pl-PL"/>
              </w:rPr>
              <w:t>Łączna wartość nieruchomości</w:t>
            </w:r>
          </w:p>
          <w:p w:rsidR="005A35EB" w:rsidRPr="00CA1EEA" w:rsidRDefault="00CA1EEA" w:rsidP="00B95E01">
            <w:pPr>
              <w:spacing w:line="240" w:lineRule="auto"/>
              <w:ind w:left="190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1E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16.200</w:t>
            </w:r>
            <w:r w:rsidR="005A35EB" w:rsidRPr="00CA1E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5A35EB" w:rsidRDefault="00CA1EEA" w:rsidP="00CA1EE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E378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szesnaście tysięcy dwieście </w:t>
            </w:r>
            <w:r w:rsidR="005A35EB" w:rsidRPr="009E3781">
              <w:rPr>
                <w:rFonts w:eastAsia="Times New Roman" w:cs="Times New Roman"/>
                <w:sz w:val="16"/>
                <w:szCs w:val="16"/>
                <w:lang w:eastAsia="pl-PL"/>
              </w:rPr>
              <w:t>złotych 00/100)</w:t>
            </w:r>
          </w:p>
          <w:p w:rsidR="009E3781" w:rsidRDefault="009E3781" w:rsidP="00CA1EE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9E3781" w:rsidRDefault="009E3781" w:rsidP="00CA1EEA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E378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Wartość prawa własności gruntu: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9E3781" w:rsidRPr="009E3781" w:rsidRDefault="009E3781" w:rsidP="00CA1EE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37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11.250,00 zł</w:t>
            </w:r>
          </w:p>
          <w:p w:rsidR="009E3781" w:rsidRDefault="009E3781" w:rsidP="00CA1EE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E3781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Wartość nakładów na nieruchomości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(nawierzchnia z kostki betonowej)</w:t>
            </w:r>
          </w:p>
          <w:p w:rsidR="009E3781" w:rsidRPr="009E3781" w:rsidRDefault="009E3781" w:rsidP="00CA1EEA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E378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4.950,00 zł</w:t>
            </w:r>
          </w:p>
          <w:p w:rsidR="005A35EB" w:rsidRPr="001A0045" w:rsidRDefault="005A35EB" w:rsidP="00B95E01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A35EB" w:rsidRPr="00F76EBD" w:rsidRDefault="005A35EB" w:rsidP="00F76EBD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F76EBD">
        <w:rPr>
          <w:rFonts w:eastAsia="Times New Roman" w:cs="Times New Roman"/>
          <w:sz w:val="20"/>
          <w:szCs w:val="20"/>
          <w:lang w:eastAsia="pl-PL"/>
        </w:rPr>
        <w:t>Zgo</w:t>
      </w:r>
      <w:r w:rsidR="00CA1EEA" w:rsidRPr="00F76EBD">
        <w:rPr>
          <w:rFonts w:eastAsia="Times New Roman" w:cs="Times New Roman"/>
          <w:sz w:val="20"/>
          <w:szCs w:val="20"/>
          <w:lang w:eastAsia="pl-PL"/>
        </w:rPr>
        <w:t xml:space="preserve">dnie z Zarządzeniem Nr IN.0050.175.2020.CR </w:t>
      </w:r>
      <w:r w:rsidRPr="00F76EBD">
        <w:rPr>
          <w:rFonts w:eastAsia="Times New Roman" w:cs="Times New Roman"/>
          <w:sz w:val="20"/>
          <w:szCs w:val="20"/>
          <w:lang w:eastAsia="pl-PL"/>
        </w:rPr>
        <w:t xml:space="preserve"> Burmistrza Dobrego Miasta z dnia </w:t>
      </w:r>
      <w:r w:rsidR="00CA1EEA" w:rsidRPr="00F76EBD">
        <w:rPr>
          <w:rFonts w:eastAsia="Times New Roman" w:cs="Times New Roman"/>
          <w:sz w:val="20"/>
          <w:szCs w:val="20"/>
          <w:lang w:eastAsia="pl-PL"/>
        </w:rPr>
        <w:t>30 września</w:t>
      </w:r>
      <w:r w:rsidRPr="00F76EBD">
        <w:rPr>
          <w:rFonts w:eastAsia="Times New Roman" w:cs="Times New Roman"/>
          <w:sz w:val="20"/>
          <w:szCs w:val="20"/>
          <w:lang w:eastAsia="pl-PL"/>
        </w:rPr>
        <w:t xml:space="preserve"> 2020r. przeznaczona została do sprzedaży nieruchomość gruntowa niezabudowana stanowiąca własność gminy Dobre Miasto położona </w:t>
      </w:r>
      <w:r w:rsidR="00CA1EEA" w:rsidRPr="00F76EBD">
        <w:rPr>
          <w:rFonts w:eastAsia="Times New Roman" w:cs="Times New Roman"/>
          <w:sz w:val="20"/>
          <w:szCs w:val="20"/>
          <w:lang w:eastAsia="pl-PL"/>
        </w:rPr>
        <w:t>Dobrym Mieście przy ul. Górnej, obręb</w:t>
      </w:r>
      <w:r w:rsidRPr="00F76EB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A1EEA" w:rsidRPr="00F76EBD">
        <w:rPr>
          <w:rFonts w:eastAsia="Times New Roman" w:cs="Times New Roman"/>
          <w:sz w:val="20"/>
          <w:szCs w:val="20"/>
          <w:lang w:eastAsia="pl-PL"/>
        </w:rPr>
        <w:t>0004</w:t>
      </w:r>
      <w:r w:rsidR="00BD049B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F76EBD">
        <w:rPr>
          <w:rFonts w:eastAsia="Times New Roman" w:cs="Times New Roman"/>
          <w:sz w:val="20"/>
          <w:szCs w:val="20"/>
          <w:lang w:eastAsia="pl-PL"/>
        </w:rPr>
        <w:t xml:space="preserve">jak wyżej, na poprawę warunków zagospodarowania nieruchomości </w:t>
      </w:r>
      <w:r w:rsidR="00CA1EEA" w:rsidRPr="00F76EBD">
        <w:rPr>
          <w:rFonts w:eastAsia="Times New Roman" w:cs="Times New Roman"/>
          <w:sz w:val="20"/>
          <w:szCs w:val="20"/>
          <w:lang w:eastAsia="pl-PL"/>
        </w:rPr>
        <w:t>objętej</w:t>
      </w:r>
      <w:r w:rsidRPr="00F76EBD">
        <w:rPr>
          <w:rFonts w:eastAsia="Times New Roman" w:cs="Times New Roman"/>
          <w:sz w:val="20"/>
          <w:szCs w:val="20"/>
          <w:lang w:eastAsia="pl-PL"/>
        </w:rPr>
        <w:t xml:space="preserve"> w KW NR OL1O/</w:t>
      </w:r>
      <w:r w:rsidR="00CA1EEA" w:rsidRPr="00F76EBD">
        <w:rPr>
          <w:rFonts w:eastAsia="Times New Roman" w:cs="Times New Roman"/>
          <w:sz w:val="20"/>
          <w:szCs w:val="20"/>
          <w:lang w:eastAsia="pl-PL"/>
        </w:rPr>
        <w:t>00175080/4</w:t>
      </w:r>
      <w:r w:rsidRPr="00F76EBD">
        <w:rPr>
          <w:rFonts w:eastAsia="Times New Roman" w:cs="Times New Roman"/>
          <w:sz w:val="20"/>
          <w:szCs w:val="20"/>
          <w:lang w:eastAsia="pl-PL"/>
        </w:rPr>
        <w:t>.</w:t>
      </w:r>
    </w:p>
    <w:p w:rsidR="005A35EB" w:rsidRPr="001A0045" w:rsidRDefault="005A35EB" w:rsidP="00F76EBD">
      <w:pPr>
        <w:spacing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>Nieruchomość oznaczona</w:t>
      </w:r>
      <w:r w:rsidR="00CA1EEA">
        <w:rPr>
          <w:rFonts w:eastAsia="Times New Roman" w:cs="Times New Roman"/>
          <w:sz w:val="20"/>
          <w:szCs w:val="20"/>
          <w:lang w:eastAsia="pl-PL"/>
        </w:rPr>
        <w:t>:</w:t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 nr </w:t>
      </w:r>
      <w:r w:rsidR="00CA1EEA">
        <w:rPr>
          <w:rFonts w:eastAsia="Times New Roman" w:cs="Times New Roman"/>
          <w:sz w:val="20"/>
          <w:szCs w:val="20"/>
          <w:lang w:eastAsia="pl-PL"/>
        </w:rPr>
        <w:t>94/7 o pow. 0,0057 ha, opisana w KW OL1O/00039124/0  i</w:t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CA1EEA">
        <w:rPr>
          <w:rFonts w:eastAsia="Times New Roman" w:cs="Times New Roman"/>
          <w:sz w:val="20"/>
          <w:szCs w:val="20"/>
          <w:lang w:eastAsia="pl-PL"/>
        </w:rPr>
        <w:t xml:space="preserve"> nr 96/5 o pow. 0,0032 ha, opisana w KW OL1O/00039128/8 </w:t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 ze względu na jej cechy geometryczne tj. wielkość i kształt nie mo</w:t>
      </w:r>
      <w:r w:rsidR="00CA1EEA">
        <w:rPr>
          <w:rFonts w:eastAsia="Times New Roman" w:cs="Times New Roman"/>
          <w:sz w:val="20"/>
          <w:szCs w:val="20"/>
          <w:lang w:eastAsia="pl-PL"/>
        </w:rPr>
        <w:t>że być odrębnie zagospodarowana</w:t>
      </w:r>
      <w:r w:rsidRPr="001A0045">
        <w:rPr>
          <w:rFonts w:eastAsia="Times New Roman" w:cs="Times New Roman"/>
          <w:sz w:val="20"/>
          <w:szCs w:val="20"/>
          <w:lang w:eastAsia="pl-PL"/>
        </w:rPr>
        <w:t>.</w:t>
      </w:r>
    </w:p>
    <w:p w:rsidR="005A35EB" w:rsidRDefault="005A35EB" w:rsidP="00F76EBD">
      <w:pPr>
        <w:spacing w:line="240" w:lineRule="auto"/>
        <w:ind w:firstLine="708"/>
        <w:jc w:val="both"/>
        <w:rPr>
          <w:rFonts w:eastAsia="Times New Roman" w:cs="Times New Roman"/>
          <w:bCs/>
          <w:i/>
          <w:sz w:val="20"/>
          <w:szCs w:val="20"/>
          <w:u w:val="single"/>
          <w:lang w:eastAsia="pl-PL"/>
        </w:rPr>
      </w:pPr>
      <w:r w:rsidRPr="001A0045">
        <w:rPr>
          <w:rFonts w:eastAsia="Times New Roman" w:cs="Times New Roman"/>
          <w:bCs/>
          <w:i/>
          <w:sz w:val="20"/>
          <w:szCs w:val="20"/>
          <w:u w:val="single"/>
          <w:lang w:eastAsia="pl-PL"/>
        </w:rPr>
        <w:t>Nieruchomość nie jest obciążona ciężarami i hipotekami, nie toczy się w stosunku do niej żadne postępowania.</w:t>
      </w:r>
    </w:p>
    <w:p w:rsidR="009E3781" w:rsidRDefault="009E3781" w:rsidP="005A35EB">
      <w:pPr>
        <w:spacing w:line="240" w:lineRule="auto"/>
        <w:ind w:firstLine="708"/>
        <w:rPr>
          <w:rFonts w:eastAsia="Times New Roman" w:cs="Times New Roman"/>
          <w:bCs/>
          <w:i/>
          <w:sz w:val="20"/>
          <w:szCs w:val="20"/>
          <w:u w:val="single"/>
          <w:lang w:eastAsia="pl-PL"/>
        </w:rPr>
      </w:pPr>
    </w:p>
    <w:p w:rsidR="009E3781" w:rsidRDefault="009E3781" w:rsidP="00F76EBD">
      <w:pPr>
        <w:spacing w:line="240" w:lineRule="auto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</w:pPr>
      <w:r w:rsidRPr="009E3781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t>Opis lokalizacji:</w:t>
      </w:r>
    </w:p>
    <w:p w:rsidR="00BD049B" w:rsidRDefault="00441172" w:rsidP="00F76EBD">
      <w:pPr>
        <w:spacing w:line="240" w:lineRule="auto"/>
        <w:ind w:firstLine="708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441172">
        <w:rPr>
          <w:rFonts w:eastAsia="Times New Roman" w:cs="Times New Roman"/>
          <w:bCs/>
          <w:sz w:val="20"/>
          <w:szCs w:val="20"/>
          <w:lang w:eastAsia="pl-PL"/>
        </w:rPr>
        <w:t>Dobre Miasto położone jest w odległości 25 km od Olsztyna, nad rzeką Łyną, w północnej części Pojezierza Olsztyńskiego, w centrum historycznej Warmii.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Jest to miasto atrakcyjne dla inwestorów ze względu na tereny wolnej strefy ekonomicznej. </w:t>
      </w:r>
    </w:p>
    <w:p w:rsidR="009E3781" w:rsidRDefault="009E3781" w:rsidP="00F76EBD">
      <w:pPr>
        <w:spacing w:line="240" w:lineRule="auto"/>
        <w:ind w:firstLine="708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9E3781">
        <w:rPr>
          <w:rFonts w:eastAsia="Times New Roman" w:cs="Times New Roman"/>
          <w:bCs/>
          <w:sz w:val="20"/>
          <w:szCs w:val="20"/>
          <w:lang w:eastAsia="pl-PL"/>
        </w:rPr>
        <w:t xml:space="preserve">Nieruchomość zlokalizowana jest w strefie pośredniej miasta Dobre Miasto przy ul. Górnej, w odległości około 500m od centrum miasta. Dojazd do nieruchomości jest bardzo dobry-drogą o nawierzchni asfaltowej, a dalej nawierzchnia z kamienia polnego. Najbliższe sąsiedztwo stanowi zabudowa różna, budynki jednorodzinne w dobrym stanie, zabudowa wielorodzinna w słabym stanie oraz zabudowa wielorodzinna </w:t>
      </w:r>
      <w:proofErr w:type="spellStart"/>
      <w:r w:rsidRPr="009E3781">
        <w:rPr>
          <w:rFonts w:eastAsia="Times New Roman" w:cs="Times New Roman"/>
          <w:bCs/>
          <w:sz w:val="20"/>
          <w:szCs w:val="20"/>
          <w:lang w:eastAsia="pl-PL"/>
        </w:rPr>
        <w:t>noworealizowana</w:t>
      </w:r>
      <w:proofErr w:type="spellEnd"/>
      <w:r w:rsidRPr="009E3781">
        <w:rPr>
          <w:rFonts w:eastAsia="Times New Roman" w:cs="Times New Roman"/>
          <w:bCs/>
          <w:sz w:val="20"/>
          <w:szCs w:val="20"/>
          <w:lang w:eastAsia="pl-PL"/>
        </w:rPr>
        <w:t>.</w:t>
      </w:r>
    </w:p>
    <w:p w:rsidR="00441172" w:rsidRDefault="00441172" w:rsidP="00F76EBD">
      <w:pPr>
        <w:spacing w:line="240" w:lineRule="auto"/>
        <w:ind w:firstLine="708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Lokalizację uznano za bardzo dobrą.</w:t>
      </w:r>
    </w:p>
    <w:p w:rsidR="00BD049B" w:rsidRDefault="00BD049B" w:rsidP="00F76EBD">
      <w:pPr>
        <w:spacing w:line="240" w:lineRule="auto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BD049B" w:rsidRDefault="00BD049B" w:rsidP="00F76EBD">
      <w:pPr>
        <w:spacing w:line="240" w:lineRule="auto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BD049B" w:rsidRDefault="00BD049B" w:rsidP="00F76EBD">
      <w:pPr>
        <w:spacing w:line="240" w:lineRule="auto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</w:pPr>
    </w:p>
    <w:p w:rsidR="00441172" w:rsidRDefault="00441172" w:rsidP="00F76EBD">
      <w:pPr>
        <w:spacing w:line="240" w:lineRule="auto"/>
        <w:jc w:val="both"/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</w:pPr>
      <w:r w:rsidRPr="00441172">
        <w:rPr>
          <w:rFonts w:eastAsia="Times New Roman" w:cs="Times New Roman"/>
          <w:b/>
          <w:bCs/>
          <w:i/>
          <w:sz w:val="20"/>
          <w:szCs w:val="20"/>
          <w:u w:val="single"/>
          <w:lang w:eastAsia="pl-PL"/>
        </w:rPr>
        <w:lastRenderedPageBreak/>
        <w:t>Opis działki:</w:t>
      </w:r>
    </w:p>
    <w:p w:rsidR="00441172" w:rsidRDefault="00441172" w:rsidP="00F76EBD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ab/>
        <w:t>Działki nr 94/7 i 96/5 mają wydłużony kształt</w:t>
      </w:r>
      <w:r w:rsidR="00BD049B">
        <w:rPr>
          <w:rFonts w:eastAsia="Times New Roman" w:cs="Times New Roman"/>
          <w:bCs/>
          <w:sz w:val="20"/>
          <w:szCs w:val="20"/>
          <w:lang w:eastAsia="pl-PL"/>
        </w:rPr>
        <w:t>,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zbliżony do prostokąta</w:t>
      </w:r>
      <w:r w:rsidR="00BD049B">
        <w:rPr>
          <w:rFonts w:eastAsia="Times New Roman" w:cs="Times New Roman"/>
          <w:bCs/>
          <w:sz w:val="20"/>
          <w:szCs w:val="20"/>
          <w:lang w:eastAsia="pl-PL"/>
        </w:rPr>
        <w:t>,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o wymiarach około</w:t>
      </w:r>
      <w:r w:rsidR="00BD049B">
        <w:rPr>
          <w:rFonts w:eastAsia="Times New Roman" w:cs="Times New Roman"/>
          <w:bCs/>
          <w:sz w:val="20"/>
          <w:szCs w:val="20"/>
          <w:lang w:eastAsia="pl-PL"/>
        </w:rPr>
        <w:t>;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BD049B">
        <w:rPr>
          <w:rFonts w:eastAsia="Times New Roman" w:cs="Times New Roman"/>
          <w:bCs/>
          <w:sz w:val="20"/>
          <w:szCs w:val="20"/>
          <w:lang w:eastAsia="pl-PL"/>
        </w:rPr>
        <w:t xml:space="preserve">długość 28m, szerokość 3m, na których </w:t>
      </w:r>
      <w:r>
        <w:rPr>
          <w:rFonts w:eastAsia="Times New Roman" w:cs="Times New Roman"/>
          <w:bCs/>
          <w:sz w:val="20"/>
          <w:szCs w:val="20"/>
          <w:lang w:eastAsia="pl-PL"/>
        </w:rPr>
        <w:t>znajduje się zatoka parkingowa z kostki betonowej o powierzchni około 45 m</w:t>
      </w:r>
      <w:r w:rsidRPr="00441172">
        <w:rPr>
          <w:rFonts w:eastAsia="Times New Roman" w:cs="Times New Roman"/>
          <w:bCs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Times New Roman"/>
          <w:bCs/>
          <w:sz w:val="20"/>
          <w:szCs w:val="20"/>
          <w:lang w:eastAsia="pl-PL"/>
        </w:rPr>
        <w:t>. Nawierzchnia jest nowa i nie wykazuje oznak zużycia technicznego.</w:t>
      </w:r>
    </w:p>
    <w:p w:rsidR="00BB2707" w:rsidRDefault="00BB2707" w:rsidP="00F76EBD">
      <w:pPr>
        <w:spacing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Teren uzbro</w:t>
      </w:r>
      <w:r w:rsidR="00AF4315">
        <w:rPr>
          <w:rFonts w:eastAsia="Times New Roman" w:cs="Times New Roman"/>
          <w:bCs/>
          <w:sz w:val="20"/>
          <w:szCs w:val="20"/>
          <w:lang w:eastAsia="pl-PL"/>
        </w:rPr>
        <w:t>jony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w sieć elektroenergetyczną, wodociągową, kanalizacyjną i gazową.</w:t>
      </w:r>
    </w:p>
    <w:p w:rsidR="00441172" w:rsidRPr="00441172" w:rsidRDefault="00441172" w:rsidP="00441172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A35EB" w:rsidRPr="001A0045" w:rsidRDefault="005A35EB" w:rsidP="005A35EB">
      <w:pPr>
        <w:spacing w:before="120" w:after="12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1A004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Dla </w:t>
      </w:r>
      <w:r w:rsidR="00BD049B">
        <w:rPr>
          <w:rFonts w:eastAsia="Times New Roman" w:cs="Times New Roman"/>
          <w:b/>
          <w:color w:val="000000"/>
          <w:sz w:val="20"/>
          <w:szCs w:val="20"/>
          <w:lang w:eastAsia="pl-PL"/>
        </w:rPr>
        <w:t>działki</w:t>
      </w:r>
      <w:r w:rsidR="006A5A87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nr 94/7 </w:t>
      </w:r>
      <w:r w:rsidRPr="001A004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przez VI Wydział Ksiąg Wieczystych Sądu Rejonowego w Olsztynie prowadzona jest księga wieczysta </w:t>
      </w:r>
      <w:r w:rsidRPr="001A0045">
        <w:rPr>
          <w:rFonts w:eastAsia="Times New Roman" w:cs="Times New Roman"/>
          <w:b/>
          <w:sz w:val="20"/>
          <w:szCs w:val="20"/>
          <w:lang w:eastAsia="pl-PL"/>
        </w:rPr>
        <w:t>KW Nr OL1O/</w:t>
      </w:r>
      <w:r w:rsidR="00B56820">
        <w:rPr>
          <w:rFonts w:eastAsia="Times New Roman" w:cs="Times New Roman"/>
          <w:b/>
          <w:sz w:val="20"/>
          <w:szCs w:val="20"/>
          <w:lang w:eastAsia="pl-PL"/>
        </w:rPr>
        <w:t>00039124/0</w:t>
      </w:r>
    </w:p>
    <w:p w:rsidR="005A35EB" w:rsidRPr="001A0045" w:rsidRDefault="005A35EB" w:rsidP="005A35EB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u w:val="single"/>
          <w:lang w:eastAsia="pl-PL"/>
        </w:rPr>
        <w:t>Dział III zawiera wpisy</w:t>
      </w:r>
      <w:r w:rsidRPr="001A0045">
        <w:rPr>
          <w:rFonts w:eastAsia="Times New Roman" w:cs="Times New Roman"/>
          <w:sz w:val="18"/>
          <w:szCs w:val="18"/>
          <w:lang w:eastAsia="pl-PL"/>
        </w:rPr>
        <w:t xml:space="preserve">: </w:t>
      </w:r>
    </w:p>
    <w:p w:rsidR="005A35EB" w:rsidRPr="001A0045" w:rsidRDefault="005A35EB" w:rsidP="005A35EB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 xml:space="preserve"> - Ograniczone prawo rzeczowe,</w:t>
      </w:r>
    </w:p>
    <w:p w:rsidR="005A35EB" w:rsidRDefault="005A35EB" w:rsidP="00B56820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Treść wpisu: służebność </w:t>
      </w:r>
      <w:r w:rsidR="00B56820">
        <w:rPr>
          <w:rFonts w:eastAsia="Times New Roman" w:cs="Times New Roman"/>
          <w:sz w:val="18"/>
          <w:szCs w:val="18"/>
          <w:lang w:eastAsia="pl-PL"/>
        </w:rPr>
        <w:t xml:space="preserve">przesyłu polegająca na udostępnieniu działki gruntu w celu wybudowania urządzeń – przyłącza </w:t>
      </w:r>
      <w:r w:rsidR="006A5A87">
        <w:rPr>
          <w:rFonts w:eastAsia="Times New Roman" w:cs="Times New Roman"/>
          <w:sz w:val="18"/>
          <w:szCs w:val="18"/>
          <w:lang w:eastAsia="pl-PL"/>
        </w:rPr>
        <w:t xml:space="preserve">kablowego </w:t>
      </w:r>
      <w:proofErr w:type="spellStart"/>
      <w:r w:rsidR="006A5A87">
        <w:rPr>
          <w:rFonts w:eastAsia="Times New Roman" w:cs="Times New Roman"/>
          <w:sz w:val="18"/>
          <w:szCs w:val="18"/>
          <w:lang w:eastAsia="pl-PL"/>
        </w:rPr>
        <w:t>ze</w:t>
      </w:r>
      <w:r w:rsidR="00B56820">
        <w:rPr>
          <w:rFonts w:eastAsia="Times New Roman" w:cs="Times New Roman"/>
          <w:sz w:val="18"/>
          <w:szCs w:val="18"/>
          <w:lang w:eastAsia="pl-PL"/>
        </w:rPr>
        <w:t>złączem</w:t>
      </w:r>
      <w:proofErr w:type="spellEnd"/>
      <w:r w:rsidR="00B56820">
        <w:rPr>
          <w:rFonts w:eastAsia="Times New Roman" w:cs="Times New Roman"/>
          <w:sz w:val="18"/>
          <w:szCs w:val="18"/>
          <w:lang w:eastAsia="pl-PL"/>
        </w:rPr>
        <w:t xml:space="preserve"> kablowo-pomiarowym, wykonania prac remontowych, eksploatacyjnych i modernizacyjnych na wybudowanych urządzeniach, usunięcia awarii wybudowanych urządzeń, prawa przejścia i przejazdu oraz przechodu wybudowanych urządzeń,</w:t>
      </w:r>
    </w:p>
    <w:p w:rsidR="00B56820" w:rsidRDefault="00B56820" w:rsidP="00B56820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Przedmiot wykonania: Działka nr 77/28</w:t>
      </w:r>
    </w:p>
    <w:p w:rsidR="006A5A87" w:rsidRDefault="00B56820" w:rsidP="00B56820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>
        <w:rPr>
          <w:rFonts w:eastAsia="Times New Roman" w:cs="Times New Roman"/>
          <w:sz w:val="18"/>
          <w:szCs w:val="18"/>
          <w:lang w:eastAsia="pl-PL"/>
        </w:rPr>
        <w:t>:</w:t>
      </w:r>
    </w:p>
    <w:p w:rsidR="006A5A87" w:rsidRDefault="00B56820" w:rsidP="00B56820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Numer księgi wieczystej OL1O/00175080/4,</w:t>
      </w:r>
    </w:p>
    <w:p w:rsidR="00B56820" w:rsidRDefault="006A5A87" w:rsidP="00B56820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Numer księgi wieczystej OL1O/00177208/2.</w:t>
      </w:r>
    </w:p>
    <w:p w:rsidR="00B56820" w:rsidRPr="001A0045" w:rsidRDefault="00B56820" w:rsidP="00B56820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Inna osoba prawna lub jednostka organizacyjna niebędąca osobą prawną: Energa-Operator S.A. oddział w Olsztynie, Gdańsk</w:t>
      </w:r>
      <w:r w:rsidR="006A5A87">
        <w:rPr>
          <w:rFonts w:eastAsia="Times New Roman" w:cs="Times New Roman"/>
          <w:sz w:val="18"/>
          <w:szCs w:val="18"/>
          <w:lang w:eastAsia="pl-PL"/>
        </w:rPr>
        <w:t>.</w:t>
      </w:r>
    </w:p>
    <w:p w:rsidR="005A35EB" w:rsidRPr="001A0045" w:rsidRDefault="005A35EB" w:rsidP="005A35EB">
      <w:pPr>
        <w:spacing w:before="60" w:after="6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1A0045">
        <w:rPr>
          <w:rFonts w:eastAsia="Times New Roman" w:cs="Times New Roman"/>
          <w:b/>
          <w:sz w:val="18"/>
          <w:szCs w:val="18"/>
          <w:lang w:eastAsia="pl-PL"/>
        </w:rPr>
        <w:t>- Ograniczone prawo rzeczowe,</w:t>
      </w:r>
    </w:p>
    <w:p w:rsidR="005A35EB" w:rsidRPr="001A0045" w:rsidRDefault="005A35EB" w:rsidP="005A35EB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>Rodzaj wpisu:</w:t>
      </w:r>
    </w:p>
    <w:p w:rsidR="006A5A87" w:rsidRDefault="005A35EB" w:rsidP="006A5A87">
      <w:pPr>
        <w:spacing w:before="60" w:after="60"/>
        <w:jc w:val="both"/>
        <w:rPr>
          <w:sz w:val="18"/>
          <w:szCs w:val="18"/>
        </w:rPr>
      </w:pPr>
      <w:r w:rsidRPr="001A0045">
        <w:rPr>
          <w:rFonts w:eastAsia="Times New Roman" w:cs="Times New Roman"/>
          <w:sz w:val="18"/>
          <w:szCs w:val="18"/>
          <w:lang w:eastAsia="pl-PL"/>
        </w:rPr>
        <w:t xml:space="preserve">Odpłatna i </w:t>
      </w:r>
      <w:r w:rsidR="006A5A87">
        <w:rPr>
          <w:rFonts w:eastAsia="Times New Roman" w:cs="Times New Roman"/>
          <w:sz w:val="18"/>
          <w:szCs w:val="18"/>
          <w:lang w:eastAsia="pl-PL"/>
        </w:rPr>
        <w:t xml:space="preserve">ustanowiona </w:t>
      </w:r>
      <w:r w:rsidRPr="001A0045">
        <w:rPr>
          <w:rFonts w:eastAsia="Times New Roman" w:cs="Times New Roman"/>
          <w:sz w:val="18"/>
          <w:szCs w:val="18"/>
          <w:lang w:eastAsia="pl-PL"/>
        </w:rPr>
        <w:t xml:space="preserve">na czas nieoznaczony, służebność przesyłu </w:t>
      </w:r>
      <w:r w:rsidR="006A5A87">
        <w:rPr>
          <w:rFonts w:eastAsia="Times New Roman" w:cs="Times New Roman"/>
          <w:sz w:val="18"/>
          <w:szCs w:val="18"/>
          <w:lang w:eastAsia="pl-PL"/>
        </w:rPr>
        <w:t xml:space="preserve">w postaci linii kablowej i dwóch (2) złącz kablowo-pomiarowych na nieruchomości objętej tą księgą wieczystą, ograniczając to prawo do działek numer: 77/28 o powierzchni 1810 metrów kwadratowych – projektowana linia kablowa o długości trzydzieści dwa (32) metry, nr 77/41 o powierzchni 1429 metrów kwadratowych – projektowana linia kablowa o </w:t>
      </w:r>
      <w:r w:rsidR="006A5A87" w:rsidRPr="006A5A87">
        <w:rPr>
          <w:sz w:val="18"/>
          <w:szCs w:val="18"/>
        </w:rPr>
        <w:t>długości czterdzieści pięć (45) metrów i dwa (2) złącza kablowo pomiarowe, polegająca na:</w:t>
      </w:r>
    </w:p>
    <w:p w:rsidR="006A5A87" w:rsidRDefault="006A5A87" w:rsidP="006A5A87">
      <w:pPr>
        <w:spacing w:before="60" w:after="60"/>
        <w:jc w:val="both"/>
        <w:rPr>
          <w:sz w:val="18"/>
          <w:szCs w:val="18"/>
        </w:rPr>
      </w:pPr>
      <w:r w:rsidRPr="006A5A87">
        <w:rPr>
          <w:sz w:val="18"/>
          <w:szCs w:val="18"/>
        </w:rPr>
        <w:t xml:space="preserve">a) prawie do korzystania z wyżej wymienionych działek w zakresie niezbędnym do posadowienia na niej w przyszłości urządzeń elektroenergetycznych, zgodnie z załącznikiem graficznym numer 1, stanowiącym integralną część wyżej opisanego porozumienia, </w:t>
      </w:r>
    </w:p>
    <w:p w:rsidR="006A5A87" w:rsidRDefault="006A5A87" w:rsidP="006A5A87">
      <w:pPr>
        <w:spacing w:before="60" w:after="60"/>
        <w:jc w:val="both"/>
        <w:rPr>
          <w:sz w:val="18"/>
          <w:szCs w:val="18"/>
        </w:rPr>
      </w:pPr>
      <w:r w:rsidRPr="006A5A87">
        <w:rPr>
          <w:sz w:val="18"/>
          <w:szCs w:val="18"/>
        </w:rPr>
        <w:t xml:space="preserve">b) znoszeniu istnienia posadowionych na wyżej wymienionych działkach urządzeń, o których mowa w porozumieniu, </w:t>
      </w:r>
    </w:p>
    <w:p w:rsidR="005A35EB" w:rsidRDefault="006A5A87" w:rsidP="006A5A87">
      <w:pPr>
        <w:spacing w:before="60" w:after="60"/>
        <w:jc w:val="both"/>
        <w:rPr>
          <w:sz w:val="18"/>
          <w:szCs w:val="18"/>
        </w:rPr>
      </w:pPr>
      <w:r w:rsidRPr="006A5A87">
        <w:rPr>
          <w:sz w:val="18"/>
          <w:szCs w:val="18"/>
        </w:rPr>
        <w:t>c) prawie do korzystania z wyżej wymienionych działek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6A5A87" w:rsidRDefault="006A5A87" w:rsidP="006A5A87">
      <w:pPr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Przedmiot wykonania:</w:t>
      </w:r>
    </w:p>
    <w:p w:rsidR="006A5A87" w:rsidRDefault="006A5A87" w:rsidP="006A5A87">
      <w:pPr>
        <w:spacing w:before="60" w:after="60"/>
        <w:jc w:val="both"/>
        <w:rPr>
          <w:sz w:val="18"/>
          <w:szCs w:val="18"/>
        </w:rPr>
      </w:pPr>
      <w:r>
        <w:rPr>
          <w:sz w:val="18"/>
          <w:szCs w:val="18"/>
        </w:rPr>
        <w:t>Działki nr : 77/28, 77/41.</w:t>
      </w:r>
    </w:p>
    <w:p w:rsidR="006A5A87" w:rsidRDefault="006A5A87" w:rsidP="006A5A87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sz w:val="18"/>
          <w:szCs w:val="18"/>
          <w:lang w:eastAsia="pl-PL"/>
        </w:rPr>
        <w:t>współobciążona</w:t>
      </w:r>
      <w:proofErr w:type="spellEnd"/>
      <w:r>
        <w:rPr>
          <w:rFonts w:eastAsia="Times New Roman" w:cs="Times New Roman"/>
          <w:sz w:val="18"/>
          <w:szCs w:val="18"/>
          <w:lang w:eastAsia="pl-PL"/>
        </w:rPr>
        <w:t>:</w:t>
      </w:r>
    </w:p>
    <w:p w:rsidR="006A5A87" w:rsidRDefault="006A5A87" w:rsidP="006A5A87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Numer księgi wieczystej OL1O/00175080/4,</w:t>
      </w:r>
    </w:p>
    <w:p w:rsidR="006A5A87" w:rsidRDefault="006A5A87" w:rsidP="006A5A87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Numer księgi wieczystej OL1O/00177208/2.</w:t>
      </w:r>
    </w:p>
    <w:p w:rsidR="006A5A87" w:rsidRPr="001A0045" w:rsidRDefault="006A5A87" w:rsidP="006A5A87">
      <w:pPr>
        <w:spacing w:before="60" w:after="6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Inna osoba prawna lub jednostka organizacyjna niebędąca osobą prawną: Energa-Operator S.A. oddział w Olsztynie, Gdańsk, 190275904.</w:t>
      </w:r>
    </w:p>
    <w:p w:rsidR="005A35EB" w:rsidRPr="00F76EBD" w:rsidRDefault="00F61266" w:rsidP="00F76EBD">
      <w:pPr>
        <w:spacing w:before="120" w:after="12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1A004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Dla </w:t>
      </w:r>
      <w:r w:rsidR="00BD049B">
        <w:rPr>
          <w:rFonts w:eastAsia="Times New Roman" w:cs="Times New Roman"/>
          <w:b/>
          <w:color w:val="000000"/>
          <w:sz w:val="20"/>
          <w:szCs w:val="20"/>
          <w:lang w:eastAsia="pl-PL"/>
        </w:rPr>
        <w:t>działki</w:t>
      </w:r>
      <w:r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nr 96/5 </w:t>
      </w:r>
      <w:r w:rsidRPr="001A0045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przez VI Wydział Ksiąg Wieczystych Sądu Rejonowego w Olsztynie prowadzona jest księga wieczysta </w:t>
      </w:r>
      <w:r w:rsidRPr="001A0045">
        <w:rPr>
          <w:rFonts w:eastAsia="Times New Roman" w:cs="Times New Roman"/>
          <w:b/>
          <w:sz w:val="20"/>
          <w:szCs w:val="20"/>
          <w:lang w:eastAsia="pl-PL"/>
        </w:rPr>
        <w:t>KW Nr OL1O/</w:t>
      </w:r>
      <w:r>
        <w:rPr>
          <w:rFonts w:eastAsia="Times New Roman" w:cs="Times New Roman"/>
          <w:b/>
          <w:sz w:val="20"/>
          <w:szCs w:val="20"/>
          <w:lang w:eastAsia="pl-PL"/>
        </w:rPr>
        <w:t>00039128/8, działy I-</w:t>
      </w:r>
      <w:proofErr w:type="spellStart"/>
      <w:r>
        <w:rPr>
          <w:rFonts w:eastAsia="Times New Roman" w:cs="Times New Roman"/>
          <w:b/>
          <w:sz w:val="20"/>
          <w:szCs w:val="20"/>
          <w:lang w:eastAsia="pl-PL"/>
        </w:rPr>
        <w:t>Sp</w:t>
      </w:r>
      <w:proofErr w:type="spellEnd"/>
      <w:r>
        <w:rPr>
          <w:rFonts w:eastAsia="Times New Roman" w:cs="Times New Roman"/>
          <w:b/>
          <w:sz w:val="20"/>
          <w:szCs w:val="20"/>
          <w:lang w:eastAsia="pl-PL"/>
        </w:rPr>
        <w:t>, III i IV wolne od wpisów.</w:t>
      </w:r>
      <w:r w:rsidR="005A35EB" w:rsidRPr="001A0045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5A35EB" w:rsidRPr="001A0045" w:rsidRDefault="005A35EB" w:rsidP="00F76EBD">
      <w:pPr>
        <w:spacing w:line="240" w:lineRule="auto"/>
        <w:ind w:right="-468" w:firstLine="708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>W y k a z</w:t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  podaje się do publicznej wiadomości poprzez wywieszenie na tablicy informacyjnej – Gospodarka Nieruchomościami - w siedzibie Urzędu Miejskiego w Dobrym Mieście przy ul. Warszawskiej 14 przez okres 21 dni tj. </w:t>
      </w: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od dnia </w:t>
      </w:r>
      <w:r w:rsidR="00BD049B">
        <w:rPr>
          <w:rFonts w:eastAsia="Times New Roman" w:cs="Times New Roman"/>
          <w:b/>
          <w:bCs/>
          <w:sz w:val="20"/>
          <w:szCs w:val="20"/>
          <w:lang w:eastAsia="pl-PL"/>
        </w:rPr>
        <w:t>30</w:t>
      </w:r>
      <w:r w:rsidR="00F76EB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listopada</w:t>
      </w: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2020r. do dnia </w:t>
      </w:r>
      <w:r w:rsidR="00BD049B">
        <w:rPr>
          <w:rFonts w:eastAsia="Times New Roman" w:cs="Times New Roman"/>
          <w:b/>
          <w:bCs/>
          <w:sz w:val="20"/>
          <w:szCs w:val="20"/>
          <w:lang w:eastAsia="pl-PL"/>
        </w:rPr>
        <w:t>21</w:t>
      </w:r>
      <w:r w:rsidR="00F76EB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grudnia </w:t>
      </w: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2020r. </w:t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a ponadto informację o wywieszeniu tego wykazu podaje się do wiadomości publicznej poprzez ogłoszenie w prasie lokalnej tj. media elektroniczne </w:t>
      </w:r>
      <w:hyperlink r:id="rId6" w:history="1">
        <w:r w:rsidRPr="001A0045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www.otoprzetargi.pl</w:t>
        </w:r>
      </w:hyperlink>
      <w:r w:rsidRPr="001A0045">
        <w:rPr>
          <w:rFonts w:eastAsia="Times New Roman" w:cs="Times New Roman"/>
          <w:sz w:val="20"/>
          <w:szCs w:val="20"/>
          <w:lang w:eastAsia="pl-PL"/>
        </w:rPr>
        <w:t xml:space="preserve"> , a także  na stronie Biuletynu Informacji Publicznej Urzędu Miejskiego w  Dobrym Mieście </w:t>
      </w:r>
      <w:hyperlink r:id="rId7" w:history="1">
        <w:r w:rsidRPr="001A0045">
          <w:rPr>
            <w:rFonts w:eastAsia="Times New Roman" w:cs="Times New Roman"/>
            <w:color w:val="0000FF"/>
            <w:sz w:val="20"/>
            <w:szCs w:val="20"/>
            <w:u w:val="single"/>
            <w:lang w:eastAsia="pl-PL"/>
          </w:rPr>
          <w:t>http://bip.warmia.mazury.pl/dobre_miasto_gmina_miejsko_wiejska/</w:t>
        </w:r>
      </w:hyperlink>
      <w:r w:rsidRPr="001A0045">
        <w:rPr>
          <w:rFonts w:eastAsia="Times New Roman" w:cs="Times New Roman"/>
          <w:sz w:val="20"/>
          <w:szCs w:val="20"/>
          <w:lang w:eastAsia="pl-PL"/>
        </w:rPr>
        <w:t>.</w:t>
      </w:r>
    </w:p>
    <w:p w:rsidR="005A35EB" w:rsidRPr="001A0045" w:rsidRDefault="005A35EB" w:rsidP="00F76EBD">
      <w:pPr>
        <w:spacing w:line="24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="00DE4A55">
        <w:rPr>
          <w:rFonts w:eastAsia="Times New Roman" w:cs="Times New Roman"/>
          <w:sz w:val="20"/>
          <w:szCs w:val="20"/>
          <w:lang w:eastAsia="pl-PL"/>
        </w:rPr>
        <w:t xml:space="preserve">Z dniem </w:t>
      </w:r>
      <w:r w:rsidR="00BD049B" w:rsidRPr="00BD049B">
        <w:rPr>
          <w:rFonts w:eastAsia="Times New Roman" w:cs="Times New Roman"/>
          <w:b/>
          <w:sz w:val="20"/>
          <w:szCs w:val="20"/>
          <w:lang w:eastAsia="pl-PL"/>
        </w:rPr>
        <w:t>11</w:t>
      </w:r>
      <w:r w:rsidR="00F76EBD">
        <w:rPr>
          <w:rFonts w:eastAsia="Times New Roman" w:cs="Times New Roman"/>
          <w:b/>
          <w:sz w:val="20"/>
          <w:szCs w:val="20"/>
          <w:lang w:eastAsia="pl-PL"/>
        </w:rPr>
        <w:t xml:space="preserve"> stycznia</w:t>
      </w:r>
      <w:r w:rsidRPr="001A004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>202</w:t>
      </w:r>
      <w:r w:rsidR="00F76EBD">
        <w:rPr>
          <w:rFonts w:eastAsia="Times New Roman" w:cs="Times New Roman"/>
          <w:b/>
          <w:bCs/>
          <w:sz w:val="20"/>
          <w:szCs w:val="20"/>
          <w:lang w:eastAsia="pl-PL"/>
        </w:rPr>
        <w:t>1</w:t>
      </w: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>r.</w:t>
      </w:r>
      <w:r w:rsidRPr="001A0045">
        <w:rPr>
          <w:rFonts w:eastAsia="Times New Roman" w:cs="Times New Roman"/>
          <w:sz w:val="20"/>
          <w:szCs w:val="20"/>
          <w:lang w:eastAsia="pl-PL"/>
        </w:rPr>
        <w:t xml:space="preserve"> upływa termin złożenia wniosku przez osoby, którym przysługuje pierwszeństwo w nabyciu nieruchomości na podst. art. 34 ust.1 pkt 1 i 2 ustawy podanej wyżej.</w:t>
      </w:r>
    </w:p>
    <w:p w:rsidR="005A35EB" w:rsidRPr="001A0045" w:rsidRDefault="005A35EB" w:rsidP="00F76EBD">
      <w:pPr>
        <w:spacing w:line="24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>Osoby korzystają z pierwszeństwa w nabyciu nieruchomości, jeżeli złożą oświadczenie, że wyrażają zgodę na cenę ustaloną w sposób określony w ustawie.</w:t>
      </w:r>
    </w:p>
    <w:p w:rsidR="00DE4A55" w:rsidRPr="00DE4A55" w:rsidRDefault="005A35EB" w:rsidP="00DE4A55">
      <w:pPr>
        <w:spacing w:before="120" w:after="120" w:line="240" w:lineRule="auto"/>
        <w:ind w:firstLine="708"/>
        <w:jc w:val="both"/>
        <w:rPr>
          <w:rFonts w:eastAsia="Times New Roman" w:cs="Times New Roman"/>
          <w:b/>
          <w:sz w:val="22"/>
          <w:u w:val="single"/>
          <w:lang w:eastAsia="pl-PL"/>
        </w:rPr>
      </w:pPr>
      <w:r w:rsidRPr="00DE4A55">
        <w:rPr>
          <w:rFonts w:eastAsia="Times New Roman" w:cs="Times New Roman"/>
          <w:sz w:val="20"/>
          <w:szCs w:val="20"/>
          <w:u w:val="single"/>
          <w:lang w:eastAsia="pl-PL"/>
        </w:rPr>
        <w:lastRenderedPageBreak/>
        <w:t xml:space="preserve"> </w:t>
      </w:r>
      <w:r w:rsidR="00DE4A55" w:rsidRPr="00DE4A55">
        <w:rPr>
          <w:rFonts w:eastAsia="Times New Roman" w:cs="Times New Roman"/>
          <w:sz w:val="22"/>
          <w:u w:val="single"/>
          <w:lang w:eastAsia="pl-PL"/>
        </w:rPr>
        <w:t>Do sprzedaży ww. nieruchomości  zastosowanie mają przepisy ustawy z dnia 11 marca 2004 roku o podatku od towarów i usług (</w:t>
      </w:r>
      <w:proofErr w:type="spellStart"/>
      <w:r w:rsidR="00DE4A55" w:rsidRPr="00DE4A55">
        <w:rPr>
          <w:rFonts w:eastAsia="Times New Roman" w:cs="Times New Roman"/>
          <w:sz w:val="22"/>
          <w:u w:val="single"/>
          <w:lang w:eastAsia="pl-PL"/>
        </w:rPr>
        <w:t>t.j</w:t>
      </w:r>
      <w:proofErr w:type="spellEnd"/>
      <w:r w:rsidR="00DE4A55" w:rsidRPr="00DE4A55">
        <w:rPr>
          <w:rFonts w:eastAsia="Times New Roman" w:cs="Times New Roman"/>
          <w:sz w:val="22"/>
          <w:u w:val="single"/>
          <w:lang w:eastAsia="pl-PL"/>
        </w:rPr>
        <w:t xml:space="preserve">. Dz. U. z 2020 r., poz.106 z </w:t>
      </w:r>
      <w:proofErr w:type="spellStart"/>
      <w:r w:rsidR="00DE4A55" w:rsidRPr="00DE4A55">
        <w:rPr>
          <w:rFonts w:eastAsia="Times New Roman" w:cs="Times New Roman"/>
          <w:sz w:val="22"/>
          <w:u w:val="single"/>
          <w:lang w:eastAsia="pl-PL"/>
        </w:rPr>
        <w:t>późn</w:t>
      </w:r>
      <w:proofErr w:type="spellEnd"/>
      <w:r w:rsidR="00DE4A55" w:rsidRPr="00DE4A55">
        <w:rPr>
          <w:rFonts w:eastAsia="Times New Roman" w:cs="Times New Roman"/>
          <w:sz w:val="22"/>
          <w:u w:val="single"/>
          <w:lang w:eastAsia="pl-PL"/>
        </w:rPr>
        <w:t>. zm.). Zgodnie z art. 41 ust.1, w związku z art. 146aa ust. 1, pkt 1 ww. ustawy</w:t>
      </w:r>
      <w:r w:rsidR="00DE4A55" w:rsidRPr="00DE4A55">
        <w:rPr>
          <w:rFonts w:eastAsia="Times New Roman" w:cs="Times New Roman"/>
          <w:b/>
          <w:sz w:val="22"/>
          <w:u w:val="single"/>
          <w:lang w:eastAsia="pl-PL"/>
        </w:rPr>
        <w:t xml:space="preserve"> stawka podatku wynosi 23%.</w:t>
      </w:r>
    </w:p>
    <w:p w:rsidR="005A35EB" w:rsidRPr="001A0045" w:rsidRDefault="005A35EB" w:rsidP="00F76EBD">
      <w:pPr>
        <w:spacing w:line="240" w:lineRule="auto"/>
        <w:ind w:right="-468" w:firstLine="708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 xml:space="preserve">   Zgodnie z art. 70 ust. 2  ww. ustawy z dnia 21 sierpnia 1997r. o gospodarce nieruchomościami cena nieruchomości sprzedawanej w drodze bezprzetargowej, może zostać rozłożona na raty, nie dłużej niż na 10 lat. Wierzytelność Gminy w stosunku do nabywcy z tego tytułu podlega zabezpieczeniu hipotecznemu. Pierwsza rata podlega zapłacie, nie później niż do dnia zawarcia umowy przenoszącej własność nieruchomości, a następne raty wraz z oprocentowaniem podlegają zapłacie w terminach ustalonych przez strony w umowie.</w:t>
      </w:r>
    </w:p>
    <w:p w:rsidR="005A35EB" w:rsidRPr="001A0045" w:rsidRDefault="005A35EB" w:rsidP="00F76EBD">
      <w:pPr>
        <w:spacing w:line="240" w:lineRule="auto"/>
        <w:ind w:right="-46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A0045">
        <w:rPr>
          <w:rFonts w:eastAsia="Times New Roman" w:cs="Times New Roman"/>
          <w:sz w:val="20"/>
          <w:szCs w:val="20"/>
          <w:lang w:eastAsia="pl-PL"/>
        </w:rPr>
        <w:t>Rozłożona na raty nie spłacona część ceny podlega oprocentowaniu przy zastosowaniu stopy procentowej równej stopie redyskonta weksli stosowanej przez Narodowy Bank Polski.</w:t>
      </w:r>
    </w:p>
    <w:p w:rsidR="005A35EB" w:rsidRPr="001A0045" w:rsidRDefault="005A35EB" w:rsidP="00F76EBD">
      <w:pPr>
        <w:spacing w:line="240" w:lineRule="auto"/>
        <w:ind w:right="-468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A0045">
        <w:rPr>
          <w:rFonts w:eastAsia="Times New Roman" w:cs="Times New Roman"/>
          <w:b/>
          <w:bCs/>
          <w:sz w:val="20"/>
          <w:szCs w:val="20"/>
          <w:lang w:eastAsia="pl-PL"/>
        </w:rPr>
        <w:t>Koszty umowy notarialnej oraz koszty sądowe ponosi Nabywca nieruchomości.</w:t>
      </w:r>
    </w:p>
    <w:p w:rsidR="005A35EB" w:rsidRPr="001A0045" w:rsidRDefault="005A35EB" w:rsidP="00F76EBD">
      <w:pPr>
        <w:spacing w:line="240" w:lineRule="auto"/>
        <w:ind w:right="-468" w:firstLine="708"/>
        <w:jc w:val="both"/>
        <w:rPr>
          <w:rFonts w:eastAsia="Times New Roman" w:cs="Times New Roman"/>
          <w:i/>
          <w:sz w:val="20"/>
          <w:szCs w:val="20"/>
          <w:u w:val="single"/>
          <w:lang w:eastAsia="pl-PL"/>
        </w:rPr>
      </w:pPr>
      <w:r w:rsidRPr="001A0045">
        <w:rPr>
          <w:rFonts w:eastAsia="Times New Roman" w:cs="Times New Roman"/>
          <w:i/>
          <w:sz w:val="20"/>
          <w:szCs w:val="20"/>
          <w:u w:val="single"/>
          <w:lang w:eastAsia="pl-PL"/>
        </w:rPr>
        <w:t>Informację o przedmiocie  sprzedaży można uzyskać w Referacie Inwestycji i Nieruchomościami Urzędu Miejskiego w Dobrym Mieśc</w:t>
      </w:r>
      <w:r w:rsidR="00BD049B">
        <w:rPr>
          <w:rFonts w:eastAsia="Times New Roman" w:cs="Times New Roman"/>
          <w:i/>
          <w:sz w:val="20"/>
          <w:szCs w:val="20"/>
          <w:u w:val="single"/>
          <w:lang w:eastAsia="pl-PL"/>
        </w:rPr>
        <w:t>ie ul. Warszawska 14, pokój nr 8</w:t>
      </w:r>
      <w:r w:rsidRPr="001A0045">
        <w:rPr>
          <w:rFonts w:eastAsia="Times New Roman" w:cs="Times New Roman"/>
          <w:i/>
          <w:sz w:val="20"/>
          <w:szCs w:val="20"/>
          <w:u w:val="single"/>
          <w:lang w:eastAsia="pl-PL"/>
        </w:rPr>
        <w:t>, tel. 6</w:t>
      </w:r>
      <w:r w:rsidR="00BD049B">
        <w:rPr>
          <w:rFonts w:eastAsia="Times New Roman" w:cs="Times New Roman"/>
          <w:i/>
          <w:sz w:val="20"/>
          <w:szCs w:val="20"/>
          <w:u w:val="single"/>
          <w:lang w:eastAsia="pl-PL"/>
        </w:rPr>
        <w:t>151</w:t>
      </w:r>
      <w:r w:rsidRPr="001A0045">
        <w:rPr>
          <w:rFonts w:eastAsia="Times New Roman" w:cs="Times New Roman"/>
          <w:i/>
          <w:sz w:val="20"/>
          <w:szCs w:val="20"/>
          <w:u w:val="single"/>
          <w:lang w:eastAsia="pl-PL"/>
        </w:rPr>
        <w:t>-</w:t>
      </w:r>
      <w:r w:rsidR="00BD049B">
        <w:rPr>
          <w:rFonts w:eastAsia="Times New Roman" w:cs="Times New Roman"/>
          <w:i/>
          <w:sz w:val="20"/>
          <w:szCs w:val="20"/>
          <w:u w:val="single"/>
          <w:lang w:eastAsia="pl-PL"/>
        </w:rPr>
        <w:t>058</w:t>
      </w:r>
      <w:r w:rsidRPr="001A0045">
        <w:rPr>
          <w:rFonts w:eastAsia="Times New Roman" w:cs="Times New Roman"/>
          <w:i/>
          <w:sz w:val="20"/>
          <w:szCs w:val="20"/>
          <w:u w:val="single"/>
          <w:lang w:eastAsia="pl-PL"/>
        </w:rPr>
        <w:t>.</w:t>
      </w:r>
    </w:p>
    <w:p w:rsidR="005A35EB" w:rsidRPr="001A0045" w:rsidRDefault="005A35EB" w:rsidP="005A35EB">
      <w:pPr>
        <w:spacing w:line="240" w:lineRule="auto"/>
        <w:ind w:left="6372" w:right="-468"/>
        <w:jc w:val="both"/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</w:pPr>
      <w:r w:rsidRPr="001A0045">
        <w:rPr>
          <w:rFonts w:eastAsia="Times New Roman" w:cs="Times New Roman"/>
          <w:i/>
          <w:sz w:val="20"/>
          <w:szCs w:val="20"/>
          <w:lang w:eastAsia="pl-PL"/>
        </w:rPr>
        <w:t xml:space="preserve">     </w:t>
      </w:r>
      <w:r w:rsidRPr="001A0045">
        <w:rPr>
          <w:rFonts w:eastAsia="Times New Roman" w:cs="Times New Roman"/>
          <w:i/>
          <w:color w:val="FFFFFF" w:themeColor="background1"/>
          <w:sz w:val="20"/>
          <w:szCs w:val="20"/>
          <w:lang w:eastAsia="pl-PL"/>
        </w:rPr>
        <w:t>Burmistrz</w:t>
      </w:r>
    </w:p>
    <w:p w:rsidR="005A35EB" w:rsidRPr="000B3F4B" w:rsidRDefault="005A35EB" w:rsidP="005A35EB">
      <w:pPr>
        <w:spacing w:line="240" w:lineRule="auto"/>
        <w:ind w:left="6372" w:right="-46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bookmarkStart w:id="0" w:name="_GoBack"/>
      <w:r w:rsidRPr="000B3F4B">
        <w:rPr>
          <w:rFonts w:eastAsia="Times New Roman" w:cs="Times New Roman"/>
          <w:i/>
          <w:sz w:val="20"/>
          <w:szCs w:val="20"/>
          <w:lang w:eastAsia="pl-PL"/>
        </w:rPr>
        <w:t xml:space="preserve">     Burmistrz      </w:t>
      </w:r>
    </w:p>
    <w:bookmarkEnd w:id="0"/>
    <w:p w:rsidR="005A35EB" w:rsidRPr="000B3F4B" w:rsidRDefault="005A35EB" w:rsidP="005A35EB">
      <w:pPr>
        <w:spacing w:line="240" w:lineRule="auto"/>
        <w:ind w:left="6372" w:right="-46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B3F4B">
        <w:rPr>
          <w:rFonts w:eastAsia="Times New Roman" w:cs="Times New Roman"/>
          <w:i/>
          <w:sz w:val="20"/>
          <w:szCs w:val="20"/>
          <w:lang w:eastAsia="pl-PL"/>
        </w:rPr>
        <w:t xml:space="preserve">          /-/    </w:t>
      </w:r>
    </w:p>
    <w:p w:rsidR="005A35EB" w:rsidRPr="000B3F4B" w:rsidRDefault="005A35EB" w:rsidP="005A35EB">
      <w:pPr>
        <w:spacing w:line="240" w:lineRule="auto"/>
        <w:ind w:left="6372" w:right="-46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B3F4B">
        <w:rPr>
          <w:rFonts w:eastAsia="Times New Roman" w:cs="Times New Roman"/>
          <w:i/>
          <w:sz w:val="20"/>
          <w:szCs w:val="20"/>
          <w:lang w:eastAsia="pl-PL"/>
        </w:rPr>
        <w:t xml:space="preserve"> Jarosław Kowalski</w:t>
      </w:r>
    </w:p>
    <w:p w:rsidR="005A35EB" w:rsidRPr="000B3F4B" w:rsidRDefault="005A35EB" w:rsidP="005A35EB"/>
    <w:p w:rsidR="003B1320" w:rsidRPr="000B3F4B" w:rsidRDefault="003B1320"/>
    <w:sectPr w:rsidR="003B1320" w:rsidRPr="000B3F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1C0"/>
    <w:multiLevelType w:val="hybridMultilevel"/>
    <w:tmpl w:val="B3D6AE46"/>
    <w:lvl w:ilvl="0" w:tplc="28025B5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B3F4B"/>
    <w:rsid w:val="003B1320"/>
    <w:rsid w:val="00441172"/>
    <w:rsid w:val="00451F32"/>
    <w:rsid w:val="005A35EB"/>
    <w:rsid w:val="006A5A87"/>
    <w:rsid w:val="0079187E"/>
    <w:rsid w:val="007A2F64"/>
    <w:rsid w:val="008458B2"/>
    <w:rsid w:val="009E3781"/>
    <w:rsid w:val="00AF4315"/>
    <w:rsid w:val="00B56820"/>
    <w:rsid w:val="00BB2707"/>
    <w:rsid w:val="00BD049B"/>
    <w:rsid w:val="00CA1EEA"/>
    <w:rsid w:val="00D34A38"/>
    <w:rsid w:val="00DE4A55"/>
    <w:rsid w:val="00F61266"/>
    <w:rsid w:val="00F7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warmia.mazury.pl/dobre_miasto_gmina_miejsko_wiej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9</cp:revision>
  <dcterms:created xsi:type="dcterms:W3CDTF">2020-11-26T10:35:00Z</dcterms:created>
  <dcterms:modified xsi:type="dcterms:W3CDTF">2020-11-27T10:26:00Z</dcterms:modified>
</cp:coreProperties>
</file>